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Ignite: Launching the Next Generation of UVA Faculty for Teaching Excellence</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Ignite program, provides faculty with the knowledge, skills, and supportive community they need to develop into exceptional teachers. Ignite kicks off with an intensive course design experience, where participants learn how to create rich, active classroom environments that support meaningful student learning – the kind of learning that changes the way students think, feel, and act. Ignite Scholars will then work in a small learning community twice per month in the fall or spring semester to support each other in implementing their courses and deepening their understanding of evidence-based practices. They complete the program by drafting an evidence-based teaching statement in which they document and analyze their work with students.</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 the course of the program, Ignite Scholars will…</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evidence-based practices to design courses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 effective approaches to teaching, including strategies to engage students through a variety of instructional technologies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confident, robust, and efficient approach to teaching</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teaching statement for performance reviews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a supportive, interdisciplinary teaching network</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Eligibility</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Ignite is open to all UVA faculty (tenure-track, tenured, and non-tenure track) who have a firm commitment from their department for continued employment for the 2019-20 academic year.</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Expectations</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Those who will thrive in the Ignite program are open to learning-centered approaches to teaching and willing to fully and actively participate in small, structured learning communities. Since a major goal is promoting a teaching support network and community among faculty, consistent and active participation in the program is crucial. Faculty who can commit to participate fully in all program activities are encouraged to apply.</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accepted to the Ignite program you commit to…</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or redesign a course during one of our two week-long, intensive Course Design Institute (click link for dates)*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 day long retreat on August 19, 2019 from 8:30 am – 3:00 pm</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participate in a small cross-disciplinary faculty learning community twice per month in the fall 2019 OR spring 2020 semester (the schedule of the 90 minute bimonthly meetings will be determined depending on availability)</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continually enhance your course by innovating and reflecting on your teaching practices, gathering and analyzing student feedback at mid-semester, and systematically assessing students’ learning</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individual consultation to get formative feedback on your teaching</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draft a reflective teaching statement for your performance or tenure review</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an Ignite program participant, you can apply for $1,500 discretionary funding for professional development opportunities. Award funds are contingent on full participation (that is, attending the Course Design Institute and at least six learning community meetings, and completing program assessments).</w:t>
      </w:r>
    </w:p>
    <w:sectPr>
      <w:headerReference r:id="rId6" w:type="first"/>
      <w:footerReference r:id="rId7" w:type="default"/>
      <w:footerReference r:id="rId8" w:type="first"/>
      <w:pgSz w:h="15840" w:w="12240"/>
      <w:pgMar w:bottom="1440" w:top="1440" w:left="1080" w:right="1080" w:header="1080" w:footer="6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color="000000"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University of Virginia • Hotel D, 24 East Range • PO Box 400136 • 434-982-2815 • cte-uva@virginia.edu • http://cte.virginia.edu</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color="000000"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University of Virginia • Hotel D, 24 East Range • PO Box 400136 • 434-982-2815 • cte-uva@virginia.edu • http://cte.virginia.edu</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color="000000" w:space="0" w:sz="4" w:val="single"/>
        <w:right w:space="0" w:sz="0" w:val="nil"/>
        <w:between w:space="0" w:sz="0" w:val="nil"/>
      </w:pBdr>
      <w:shd w:fill="auto" w:val="clear"/>
      <w:tabs>
        <w:tab w:val="left" w:pos="7830"/>
        <w:tab w:val="right" w:pos="10080"/>
      </w:tabs>
      <w:spacing w:after="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67946</wp:posOffset>
          </wp:positionH>
          <wp:positionV relativeFrom="paragraph">
            <wp:posOffset>-473709</wp:posOffset>
          </wp:positionV>
          <wp:extent cx="2454275" cy="636905"/>
          <wp:effectExtent b="0" l="0" r="0" t="0"/>
          <wp:wrapNone/>
          <wp:docPr descr="C:\Users\Michael\Box Sync\CTEMAIN\Photos, Marketing, PR\CTE Logo\CTE-Logo-Horiz-Color-Web.jpg" id="1" name="image1.jpg"/>
          <a:graphic>
            <a:graphicData uri="http://schemas.openxmlformats.org/drawingml/2006/picture">
              <pic:pic>
                <pic:nvPicPr>
                  <pic:cNvPr descr="C:\Users\Michael\Box Sync\CTEMAIN\Photos, Marketing, PR\CTE Logo\CTE-Logo-Horiz-Color-Web.jpg" id="0" name="image1.jpg"/>
                  <pic:cNvPicPr preferRelativeResize="0"/>
                </pic:nvPicPr>
                <pic:blipFill>
                  <a:blip r:embed="rId1"/>
                  <a:srcRect b="0" l="0" r="0" t="0"/>
                  <a:stretch>
                    <a:fillRect/>
                  </a:stretch>
                </pic:blipFill>
                <pic:spPr>
                  <a:xfrm>
                    <a:off x="0" y="0"/>
                    <a:ext cx="2454275" cy="636905"/>
                  </a:xfrm>
                  <a:prstGeom prst="rect"/>
                  <a:ln/>
                </pic:spPr>
              </pic:pic>
            </a:graphicData>
          </a:graphic>
        </wp:anchor>
      </w:draw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Building Community, Enhancing Learning, Fostering Innovation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Times" w:cs="CG Times" w:eastAsia="CG Times" w:hAnsi="CG Time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